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A8" w:rsidRDefault="003A2C82">
      <w:pPr>
        <w:tabs>
          <w:tab w:val="left" w:pos="644"/>
        </w:tabs>
        <w:snapToGrid w:val="0"/>
        <w:spacing w:beforeLines="50" w:before="120" w:afterLines="50" w:after="120"/>
        <w:jc w:val="center"/>
        <w:rPr>
          <w:rFonts w:ascii="仿宋_GB2312" w:eastAsia="仿宋_GB2312" w:hAnsi="宋体" w:cs="宋体"/>
          <w:b/>
          <w:color w:val="FF000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sz w:val="32"/>
          <w:szCs w:val="32"/>
        </w:rPr>
        <w:t>苏州市建筑市场综合</w:t>
      </w:r>
      <w:r>
        <w:rPr>
          <w:rFonts w:ascii="仿宋_GB2312" w:eastAsia="仿宋_GB2312" w:cs="宋体" w:hint="eastAsia"/>
          <w:b/>
          <w:bCs/>
          <w:color w:val="000000"/>
          <w:sz w:val="32"/>
          <w:szCs w:val="32"/>
        </w:rPr>
        <w:t>考核</w:t>
      </w:r>
      <w:r>
        <w:rPr>
          <w:rFonts w:ascii="仿宋_GB2312" w:eastAsia="仿宋_GB2312" w:hAnsi="宋体" w:cs="宋体" w:hint="eastAsia"/>
          <w:b/>
          <w:bCs/>
          <w:color w:val="000000"/>
          <w:sz w:val="32"/>
          <w:szCs w:val="32"/>
        </w:rPr>
        <w:t>用表之四</w:t>
      </w:r>
      <w:r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b/>
          <w:sz w:val="32"/>
          <w:szCs w:val="32"/>
        </w:rPr>
        <w:t>工程质量三</w:t>
      </w:r>
      <w:r w:rsidR="008F3386">
        <w:rPr>
          <w:rFonts w:ascii="仿宋_GB2312" w:eastAsia="仿宋_GB2312" w:hAnsi="宋体" w:cs="宋体" w:hint="eastAsia"/>
          <w:b/>
          <w:sz w:val="32"/>
          <w:szCs w:val="32"/>
        </w:rPr>
        <w:t>—市政</w:t>
      </w:r>
      <w:bookmarkStart w:id="0" w:name="_GoBack"/>
      <w:bookmarkEnd w:id="0"/>
      <w:r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）</w:t>
      </w:r>
    </w:p>
    <w:p w:rsidR="00F66CA8" w:rsidRDefault="003A2C82">
      <w:pPr>
        <w:snapToGrid w:val="0"/>
        <w:spacing w:beforeLines="50" w:before="120" w:afterLines="50" w:after="120"/>
        <w:ind w:left="420" w:firstLine="420"/>
        <w:jc w:val="both"/>
        <w:rPr>
          <w:rFonts w:ascii="仿宋_GB2312" w:eastAsia="仿宋_GB2312" w:hAnsi="宋体" w:cs="宋体"/>
          <w:bCs/>
          <w:color w:val="000000"/>
          <w:sz w:val="21"/>
          <w:szCs w:val="28"/>
        </w:rPr>
      </w:pP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项目编号：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  <w:u w:val="single"/>
        </w:rPr>
        <w:t xml:space="preserve">                          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 xml:space="preserve">   </w:t>
      </w:r>
      <w:r>
        <w:rPr>
          <w:rFonts w:ascii="仿宋_GB2312" w:eastAsia="仿宋_GB2312" w:hAnsi="宋体" w:cs="宋体"/>
          <w:bCs/>
          <w:color w:val="000000"/>
          <w:sz w:val="21"/>
          <w:szCs w:val="28"/>
        </w:rPr>
        <w:t xml:space="preserve">  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ab/>
        <w:t>检查日期:</w:t>
      </w:r>
      <w:r>
        <w:rPr>
          <w:rFonts w:ascii="仿宋_GB2312" w:eastAsia="仿宋_GB2312" w:hAnsi="宋体" w:cs="宋体"/>
          <w:bCs/>
          <w:color w:val="000000"/>
          <w:sz w:val="21"/>
          <w:szCs w:val="28"/>
          <w:u w:val="single"/>
        </w:rPr>
        <w:t xml:space="preserve">                              </w:t>
      </w:r>
      <w:r>
        <w:rPr>
          <w:rFonts w:ascii="仿宋_GB2312" w:eastAsia="仿宋_GB2312" w:hAnsi="宋体" w:cs="宋体"/>
          <w:bCs/>
          <w:color w:val="000000"/>
          <w:sz w:val="21"/>
          <w:szCs w:val="28"/>
        </w:rPr>
        <w:t xml:space="preserve">    </w:t>
      </w:r>
    </w:p>
    <w:p w:rsidR="00F66CA8" w:rsidRDefault="00F66CA8">
      <w:pPr>
        <w:autoSpaceDE w:val="0"/>
        <w:autoSpaceDN w:val="0"/>
        <w:spacing w:after="43" w:line="1" w:lineRule="exact"/>
        <w:rPr>
          <w:sz w:val="2"/>
          <w:szCs w:val="2"/>
        </w:rPr>
      </w:pPr>
    </w:p>
    <w:tbl>
      <w:tblPr>
        <w:tblW w:w="1037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1190"/>
        <w:gridCol w:w="4854"/>
        <w:gridCol w:w="1214"/>
        <w:gridCol w:w="804"/>
        <w:gridCol w:w="832"/>
        <w:gridCol w:w="1081"/>
      </w:tblGrid>
      <w:tr w:rsidR="00F66CA8">
        <w:trPr>
          <w:trHeight w:val="372"/>
        </w:trPr>
        <w:tc>
          <w:tcPr>
            <w:tcW w:w="10377" w:type="dxa"/>
            <w:gridSpan w:val="7"/>
            <w:vAlign w:val="center"/>
          </w:tcPr>
          <w:p w:rsidR="00F66CA8" w:rsidRDefault="003A2C82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施工单位（</w:t>
            </w:r>
            <w:r>
              <w:rPr>
                <w:rStyle w:val="FontStyle77"/>
                <w:rFonts w:ascii="仿宋" w:eastAsia="仿宋" w:hAnsi="仿宋"/>
                <w:sz w:val="21"/>
                <w:szCs w:val="21"/>
                <w:lang w:val="zh-CN"/>
              </w:rPr>
              <w:t>100</w:t>
            </w: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分）</w:t>
            </w:r>
          </w:p>
        </w:tc>
      </w:tr>
      <w:tr w:rsidR="00F66CA8">
        <w:trPr>
          <w:trHeight w:val="671"/>
        </w:trPr>
        <w:tc>
          <w:tcPr>
            <w:tcW w:w="402" w:type="dxa"/>
            <w:vAlign w:val="center"/>
          </w:tcPr>
          <w:p w:rsidR="00F66CA8" w:rsidRDefault="003A2C82">
            <w:pPr>
              <w:pStyle w:val="Style27"/>
              <w:spacing w:line="278" w:lineRule="exact"/>
              <w:ind w:leftChars="10" w:left="24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190" w:type="dxa"/>
            <w:vAlign w:val="center"/>
          </w:tcPr>
          <w:p w:rsidR="00F66CA8" w:rsidRDefault="003A2C82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检查项目</w:t>
            </w:r>
          </w:p>
        </w:tc>
        <w:tc>
          <w:tcPr>
            <w:tcW w:w="4854" w:type="dxa"/>
            <w:vAlign w:val="center"/>
          </w:tcPr>
          <w:p w:rsidR="00F66CA8" w:rsidRDefault="003A2C82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检查内容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扣分标准</w:t>
            </w:r>
          </w:p>
        </w:tc>
        <w:tc>
          <w:tcPr>
            <w:tcW w:w="804" w:type="dxa"/>
            <w:vAlign w:val="center"/>
          </w:tcPr>
          <w:p w:rsidR="00F66CA8" w:rsidRDefault="003A2C82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扣分</w:t>
            </w:r>
          </w:p>
        </w:tc>
        <w:tc>
          <w:tcPr>
            <w:tcW w:w="832" w:type="dxa"/>
            <w:vAlign w:val="center"/>
          </w:tcPr>
          <w:p w:rsidR="00F66CA8" w:rsidRDefault="003A2C82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得分</w:t>
            </w:r>
          </w:p>
        </w:tc>
        <w:tc>
          <w:tcPr>
            <w:tcW w:w="1081" w:type="dxa"/>
            <w:vAlign w:val="center"/>
          </w:tcPr>
          <w:p w:rsidR="00F66CA8" w:rsidRDefault="003A2C82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扣分原因</w:t>
            </w:r>
          </w:p>
        </w:tc>
      </w:tr>
      <w:tr w:rsidR="00EC23B2" w:rsidTr="00EC23B2">
        <w:trPr>
          <w:trHeight w:val="788"/>
        </w:trPr>
        <w:tc>
          <w:tcPr>
            <w:tcW w:w="402" w:type="dxa"/>
            <w:vMerge w:val="restart"/>
            <w:vAlign w:val="center"/>
          </w:tcPr>
          <w:p w:rsidR="00EC23B2" w:rsidRDefault="00EC23B2">
            <w:pPr>
              <w:pStyle w:val="Style33"/>
              <w:jc w:val="center"/>
              <w:rPr>
                <w:rFonts w:ascii="仿宋" w:eastAsia="仿宋" w:hAnsi="仿宋" w:cs="宋体"/>
                <w:bCs/>
                <w:sz w:val="21"/>
                <w:szCs w:val="21"/>
                <w:lang w:val="zh-CN"/>
              </w:rPr>
            </w:pP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1</w:t>
            </w:r>
          </w:p>
        </w:tc>
        <w:tc>
          <w:tcPr>
            <w:tcW w:w="1190" w:type="dxa"/>
            <w:vMerge w:val="restart"/>
            <w:vAlign w:val="center"/>
          </w:tcPr>
          <w:p w:rsidR="00EC23B2" w:rsidRDefault="00EC23B2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质量行为（30分）</w:t>
            </w:r>
          </w:p>
        </w:tc>
        <w:tc>
          <w:tcPr>
            <w:tcW w:w="4854" w:type="dxa"/>
            <w:vAlign w:val="center"/>
          </w:tcPr>
          <w:p w:rsidR="00EC23B2" w:rsidRDefault="00EC23B2" w:rsidP="00EC23B2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质量责任终身制和项目质量管理制度的建立和落实情况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（6分）</w:t>
            </w:r>
          </w:p>
        </w:tc>
        <w:tc>
          <w:tcPr>
            <w:tcW w:w="1214" w:type="dxa"/>
            <w:vAlign w:val="center"/>
          </w:tcPr>
          <w:p w:rsidR="00EC23B2" w:rsidRDefault="00EC23B2" w:rsidP="00FE388B">
            <w:pPr>
              <w:spacing w:line="310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EC23B2" w:rsidRDefault="00EC23B2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EC23B2" w:rsidRDefault="00EC23B2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665"/>
        </w:trPr>
        <w:tc>
          <w:tcPr>
            <w:tcW w:w="402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F66CA8" w:rsidRDefault="00F66CA8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4854" w:type="dxa"/>
            <w:vAlign w:val="center"/>
          </w:tcPr>
          <w:p w:rsidR="00F66CA8" w:rsidRDefault="00EC23B2" w:rsidP="00EC23B2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项目负责人资格、</w:t>
            </w:r>
            <w:r w:rsidR="003A2C82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项目部人员配备符合要求，且按规定到岗履责（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6</w:t>
            </w:r>
            <w:r w:rsidR="003A2C82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spacing w:line="310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F66CA8" w:rsidRDefault="00F66CA8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784"/>
        </w:trPr>
        <w:tc>
          <w:tcPr>
            <w:tcW w:w="402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F66CA8" w:rsidRDefault="00F66CA8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4854" w:type="dxa"/>
            <w:vAlign w:val="center"/>
          </w:tcPr>
          <w:p w:rsidR="00F66CA8" w:rsidRDefault="003A2C82" w:rsidP="00EC23B2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施工组织设计或专项施工（</w:t>
            </w:r>
            <w:proofErr w:type="gramStart"/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含质量</w:t>
            </w:r>
            <w:proofErr w:type="gramEnd"/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通病防治）方案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已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编制、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且按规定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审批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 xml:space="preserve"> 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（</w:t>
            </w:r>
            <w:r w:rsidR="00EC23B2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6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 xml:space="preserve">         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spacing w:line="310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宋体" w:cs="宋体"/>
                <w:sz w:val="18"/>
                <w:szCs w:val="18"/>
              </w:rPr>
            </w:pPr>
          </w:p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F66CA8" w:rsidRDefault="00F66CA8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710"/>
        </w:trPr>
        <w:tc>
          <w:tcPr>
            <w:tcW w:w="402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F66CA8" w:rsidRDefault="00F66CA8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4854" w:type="dxa"/>
            <w:vAlign w:val="center"/>
          </w:tcPr>
          <w:p w:rsidR="00F66CA8" w:rsidRDefault="003A2C82" w:rsidP="00EC23B2">
            <w:pPr>
              <w:spacing w:line="310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按照工程技术标准及审查合格的施工图设计文件实施（</w:t>
            </w:r>
            <w:r w:rsidR="00EC23B2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6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spacing w:line="310" w:lineRule="exact"/>
              <w:rPr>
                <w:rFonts w:cs="宋体"/>
                <w:sz w:val="18"/>
                <w:szCs w:val="18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081" w:type="dxa"/>
          </w:tcPr>
          <w:p w:rsidR="00F66CA8" w:rsidRDefault="00F66CA8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678"/>
        </w:trPr>
        <w:tc>
          <w:tcPr>
            <w:tcW w:w="402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F66CA8" w:rsidRDefault="00F66CA8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4854" w:type="dxa"/>
            <w:vAlign w:val="center"/>
          </w:tcPr>
          <w:p w:rsidR="00F66CA8" w:rsidRDefault="003A2C82" w:rsidP="00EC23B2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质量问题和质量事故处理及时，整改措施有效（</w:t>
            </w:r>
            <w:r w:rsidR="00EC23B2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6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spacing w:line="310" w:lineRule="exact"/>
              <w:rPr>
                <w:rFonts w:cs="宋体"/>
                <w:sz w:val="18"/>
                <w:szCs w:val="18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081" w:type="dxa"/>
          </w:tcPr>
          <w:p w:rsidR="00F66CA8" w:rsidRDefault="00F66CA8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639"/>
        </w:trPr>
        <w:tc>
          <w:tcPr>
            <w:tcW w:w="402" w:type="dxa"/>
            <w:vMerge w:val="restart"/>
            <w:vAlign w:val="center"/>
          </w:tcPr>
          <w:p w:rsidR="00F66CA8" w:rsidRDefault="003A2C82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1190" w:type="dxa"/>
            <w:vMerge w:val="restart"/>
            <w:vAlign w:val="center"/>
          </w:tcPr>
          <w:p w:rsidR="00F66CA8" w:rsidRDefault="00F66CA8">
            <w:pPr>
              <w:pStyle w:val="Style13"/>
              <w:spacing w:line="264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  <w:p w:rsidR="00F66CA8" w:rsidRDefault="00F66CA8">
            <w:pPr>
              <w:pStyle w:val="Style13"/>
              <w:spacing w:line="264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  <w:p w:rsidR="00F66CA8" w:rsidRDefault="00F66CA8">
            <w:pPr>
              <w:pStyle w:val="Style13"/>
              <w:spacing w:line="264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  <w:p w:rsidR="00F66CA8" w:rsidRDefault="003A2C82">
            <w:pPr>
              <w:pStyle w:val="Style13"/>
              <w:spacing w:line="264" w:lineRule="exact"/>
              <w:jc w:val="lef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质保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资料、检测及试验</w:t>
            </w:r>
            <w:r>
              <w:rPr>
                <w:rStyle w:val="FontStyle66"/>
                <w:rFonts w:ascii="仿宋" w:eastAsia="仿宋" w:hAnsi="仿宋" w:hint="eastAsia"/>
                <w:b w:val="0"/>
                <w:i/>
                <w:iCs/>
                <w:sz w:val="21"/>
                <w:szCs w:val="21"/>
              </w:rPr>
              <w:t>台账</w:t>
            </w:r>
            <w:proofErr w:type="gramStart"/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〔</w:t>
            </w:r>
            <w:proofErr w:type="gramEnd"/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30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分）</w:t>
            </w:r>
          </w:p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  <w:p w:rsidR="00F66CA8" w:rsidRDefault="00F66CA8">
            <w:pPr>
              <w:autoSpaceDE w:val="0"/>
              <w:autoSpaceDN w:val="0"/>
              <w:jc w:val="center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4854" w:type="dxa"/>
            <w:vAlign w:val="center"/>
          </w:tcPr>
          <w:p w:rsidR="00F66CA8" w:rsidRDefault="003A2C82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原材料进场验收资料完善、规范</w:t>
            </w:r>
            <w:proofErr w:type="gramStart"/>
            <w:r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〔</w:t>
            </w:r>
            <w:proofErr w:type="gramEnd"/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10</w:t>
            </w:r>
            <w:r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F66CA8" w:rsidRDefault="00F66CA8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602"/>
        </w:trPr>
        <w:tc>
          <w:tcPr>
            <w:tcW w:w="402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4854" w:type="dxa"/>
            <w:vAlign w:val="center"/>
          </w:tcPr>
          <w:p w:rsidR="00F66CA8" w:rsidRDefault="003A2C82">
            <w:pPr>
              <w:pStyle w:val="Style13"/>
              <w:spacing w:line="254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工序资料同步、真实、规范、齐全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（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F66CA8" w:rsidRDefault="00F66CA8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879"/>
        </w:trPr>
        <w:tc>
          <w:tcPr>
            <w:tcW w:w="402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4854" w:type="dxa"/>
            <w:vAlign w:val="center"/>
          </w:tcPr>
          <w:p w:rsidR="00F66CA8" w:rsidRDefault="003A2C8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见证取样送检制度落实；涉及结构安全的试块、试件、材料取样数量及检测结论（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F66CA8" w:rsidRDefault="00F66CA8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  <w:p w:rsidR="00F66CA8" w:rsidRDefault="00F66CA8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F66CA8">
        <w:trPr>
          <w:trHeight w:val="758"/>
        </w:trPr>
        <w:tc>
          <w:tcPr>
            <w:tcW w:w="402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F66CA8" w:rsidRDefault="00F66CA8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4854" w:type="dxa"/>
            <w:vAlign w:val="center"/>
          </w:tcPr>
          <w:p w:rsidR="00F66CA8" w:rsidRDefault="003A2C8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压实度、灰剂量、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弯沉、基层（面层）厚度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等相关试验报告齐全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10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F66CA8" w:rsidRDefault="003A2C82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F66CA8" w:rsidRDefault="00F66CA8">
            <w:pPr>
              <w:spacing w:line="310" w:lineRule="exact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F66CA8" w:rsidRDefault="00F66CA8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EC23B2">
        <w:trPr>
          <w:trHeight w:val="591"/>
        </w:trPr>
        <w:tc>
          <w:tcPr>
            <w:tcW w:w="402" w:type="dxa"/>
            <w:vMerge w:val="restart"/>
            <w:vAlign w:val="center"/>
          </w:tcPr>
          <w:p w:rsidR="00EC23B2" w:rsidRDefault="00EC23B2" w:rsidP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1190" w:type="dxa"/>
            <w:vMerge w:val="restart"/>
            <w:vAlign w:val="center"/>
          </w:tcPr>
          <w:p w:rsidR="00EC23B2" w:rsidRDefault="00EC23B2">
            <w:pPr>
              <w:pStyle w:val="Style13"/>
              <w:spacing w:line="254" w:lineRule="exact"/>
              <w:jc w:val="lef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实物质量</w:t>
            </w:r>
            <w:proofErr w:type="gramStart"/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〔</w:t>
            </w:r>
            <w:proofErr w:type="gramEnd"/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40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4854" w:type="dxa"/>
            <w:vAlign w:val="center"/>
          </w:tcPr>
          <w:p w:rsidR="00EC23B2" w:rsidRDefault="00EC23B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路基外观质量，抽查路基宽度、高程、平整度是否满足要求（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EC23B2" w:rsidRDefault="00EC23B2">
            <w:pPr>
              <w:rPr>
                <w:rStyle w:val="FontStyle66"/>
                <w:rFonts w:ascii="仿宋" w:eastAsia="仿宋" w:hAnsi="仿宋"/>
                <w:b w:val="0"/>
                <w:sz w:val="21"/>
                <w:szCs w:val="21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一项不满足扣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EC23B2" w:rsidRDefault="00EC23B2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EC23B2">
        <w:trPr>
          <w:trHeight w:val="449"/>
        </w:trPr>
        <w:tc>
          <w:tcPr>
            <w:tcW w:w="402" w:type="dxa"/>
            <w:vMerge/>
            <w:vAlign w:val="center"/>
          </w:tcPr>
          <w:p w:rsidR="00EC23B2" w:rsidRDefault="00EC23B2" w:rsidP="00461CA6">
            <w:pPr>
              <w:pStyle w:val="Style33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EC23B2" w:rsidRDefault="00EC23B2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4854" w:type="dxa"/>
            <w:vAlign w:val="center"/>
          </w:tcPr>
          <w:p w:rsidR="00EC23B2" w:rsidRDefault="00EC23B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人行道外观质量，抽查盲道铺砌、平整度、纵横缝顺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直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度是否满足要求（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EC23B2" w:rsidRDefault="00EC23B2">
            <w:pPr>
              <w:rPr>
                <w:rStyle w:val="FontStyle77"/>
                <w:rFonts w:ascii="仿宋" w:eastAsia="仿宋" w:hAnsi="仿宋"/>
                <w:b w:val="0"/>
                <w:sz w:val="21"/>
                <w:szCs w:val="21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一项不满足扣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EC23B2">
        <w:trPr>
          <w:trHeight w:val="814"/>
        </w:trPr>
        <w:tc>
          <w:tcPr>
            <w:tcW w:w="402" w:type="dxa"/>
            <w:vMerge/>
            <w:vAlign w:val="center"/>
          </w:tcPr>
          <w:p w:rsidR="00EC23B2" w:rsidRDefault="00EC23B2" w:rsidP="00461CA6">
            <w:pPr>
              <w:pStyle w:val="Style33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EC23B2" w:rsidRDefault="00EC23B2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4854" w:type="dxa"/>
            <w:vAlign w:val="center"/>
          </w:tcPr>
          <w:p w:rsidR="00EC23B2" w:rsidRDefault="00EC23B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路缘石砌筑、勾缝质量，检查顺直度情况，雨水口位置、排水情况、井内垃圾清理情况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是否满足要求（10分)</w:t>
            </w:r>
          </w:p>
        </w:tc>
        <w:tc>
          <w:tcPr>
            <w:tcW w:w="1214" w:type="dxa"/>
            <w:vAlign w:val="center"/>
          </w:tcPr>
          <w:p w:rsidR="00EC23B2" w:rsidRDefault="00EC23B2">
            <w:pPr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一项不满足扣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EC23B2" w:rsidRDefault="00EC23B2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EC23B2">
        <w:trPr>
          <w:trHeight w:val="628"/>
        </w:trPr>
        <w:tc>
          <w:tcPr>
            <w:tcW w:w="402" w:type="dxa"/>
            <w:vMerge/>
            <w:vAlign w:val="center"/>
          </w:tcPr>
          <w:p w:rsidR="00EC23B2" w:rsidRDefault="00EC23B2" w:rsidP="00461CA6">
            <w:pPr>
              <w:pStyle w:val="Style33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  <w:vAlign w:val="center"/>
          </w:tcPr>
          <w:p w:rsidR="00EC23B2" w:rsidRDefault="00EC23B2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4854" w:type="dxa"/>
            <w:vAlign w:val="center"/>
          </w:tcPr>
          <w:p w:rsidR="00EC23B2" w:rsidRDefault="00EC23B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钢筋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加工、绑扎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及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连接质量，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钢筋位置、间距及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保护层厚度是否满足要求（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EC23B2" w:rsidRDefault="00EC23B2">
            <w:pPr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一项不满足扣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EC23B2" w:rsidRDefault="00EC23B2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EC23B2">
        <w:trPr>
          <w:trHeight w:val="659"/>
        </w:trPr>
        <w:tc>
          <w:tcPr>
            <w:tcW w:w="402" w:type="dxa"/>
            <w:vMerge/>
            <w:vAlign w:val="center"/>
          </w:tcPr>
          <w:p w:rsidR="00EC23B2" w:rsidRDefault="00EC23B2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1190" w:type="dxa"/>
            <w:vMerge/>
            <w:vAlign w:val="center"/>
          </w:tcPr>
          <w:p w:rsidR="00EC23B2" w:rsidRDefault="00EC23B2">
            <w:pPr>
              <w:pStyle w:val="Style13"/>
              <w:spacing w:line="254" w:lineRule="exact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</w:p>
        </w:tc>
        <w:tc>
          <w:tcPr>
            <w:tcW w:w="4854" w:type="dxa"/>
            <w:vAlign w:val="center"/>
          </w:tcPr>
          <w:p w:rsidR="00EC23B2" w:rsidRDefault="00EC23B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混凝土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色差、蜂窝、麻面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、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裂缝等外观质量，检查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混凝土构件尺寸偏差是否满足要求（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10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EC23B2" w:rsidRDefault="00EC23B2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一项不满足扣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832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081" w:type="dxa"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EC23B2">
        <w:trPr>
          <w:trHeight w:val="641"/>
        </w:trPr>
        <w:tc>
          <w:tcPr>
            <w:tcW w:w="402" w:type="dxa"/>
            <w:vMerge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90" w:type="dxa"/>
            <w:vMerge/>
          </w:tcPr>
          <w:p w:rsidR="00EC23B2" w:rsidRDefault="00EC23B2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4854" w:type="dxa"/>
            <w:vAlign w:val="center"/>
          </w:tcPr>
          <w:p w:rsidR="00EC23B2" w:rsidRDefault="00EC23B2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桥梁纵横向线性控制、排水畅通、伸缩缝内垃圾清理等细部构造质量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是否满足要求（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214" w:type="dxa"/>
            <w:vAlign w:val="center"/>
          </w:tcPr>
          <w:p w:rsidR="00EC23B2" w:rsidRDefault="00EC23B2">
            <w:pPr>
              <w:pStyle w:val="Style12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一项不满足扣</w:t>
            </w: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2</w:t>
            </w:r>
            <w:r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804" w:type="dxa"/>
          </w:tcPr>
          <w:p w:rsidR="00EC23B2" w:rsidRDefault="00EC23B2">
            <w:pPr>
              <w:pStyle w:val="Style12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832" w:type="dxa"/>
          </w:tcPr>
          <w:p w:rsidR="00EC23B2" w:rsidRDefault="00EC23B2">
            <w:pPr>
              <w:pStyle w:val="Style12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1081" w:type="dxa"/>
          </w:tcPr>
          <w:p w:rsidR="00EC23B2" w:rsidRDefault="00EC23B2">
            <w:pPr>
              <w:pStyle w:val="Style12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</w:tr>
      <w:tr w:rsidR="00F66CA8">
        <w:trPr>
          <w:trHeight w:val="729"/>
        </w:trPr>
        <w:tc>
          <w:tcPr>
            <w:tcW w:w="10377" w:type="dxa"/>
            <w:gridSpan w:val="7"/>
            <w:vAlign w:val="center"/>
          </w:tcPr>
          <w:p w:rsidR="00F66CA8" w:rsidRDefault="003A2C82">
            <w:pPr>
              <w:pStyle w:val="Style12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得分：</w:t>
            </w:r>
            <w:r>
              <w:rPr>
                <w:rStyle w:val="FontStyle66"/>
                <w:rFonts w:ascii="仿宋" w:eastAsia="仿宋" w:hAnsi="仿宋" w:hint="eastAsia"/>
                <w:sz w:val="21"/>
                <w:szCs w:val="21"/>
                <w:u w:val="single"/>
                <w:lang w:val="zh-CN"/>
              </w:rPr>
              <w:t xml:space="preserve">        </w:t>
            </w:r>
          </w:p>
        </w:tc>
      </w:tr>
    </w:tbl>
    <w:p w:rsidR="00F66CA8" w:rsidRDefault="00F66CA8">
      <w:pPr>
        <w:pStyle w:val="Style16"/>
        <w:spacing w:before="77"/>
        <w:jc w:val="left"/>
        <w:rPr>
          <w:rStyle w:val="FontStyle79"/>
          <w:spacing w:val="-30"/>
          <w:lang w:val="zh-CN"/>
        </w:rPr>
      </w:pPr>
    </w:p>
    <w:p w:rsidR="00F66CA8" w:rsidRDefault="003A2C82">
      <w:pPr>
        <w:snapToGrid w:val="0"/>
        <w:spacing w:beforeLines="50" w:before="120" w:afterLines="50" w:after="120"/>
        <w:ind w:firstLineChars="200" w:firstLine="420"/>
        <w:rPr>
          <w:rFonts w:ascii="仿宋_GB2312" w:eastAsia="仿宋_GB2312" w:hAnsi="宋体" w:cs="宋体"/>
          <w:b/>
          <w:bCs/>
          <w:color w:val="000000"/>
          <w:sz w:val="21"/>
          <w:szCs w:val="28"/>
        </w:rPr>
      </w:pP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检查人（签字）：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  <w:u w:val="single"/>
        </w:rPr>
        <w:t xml:space="preserve">                     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 xml:space="preserve">   </w:t>
      </w:r>
      <w:r>
        <w:rPr>
          <w:rFonts w:ascii="仿宋_GB2312" w:eastAsia="仿宋_GB2312" w:hAnsi="宋体" w:cs="宋体"/>
          <w:bCs/>
          <w:color w:val="000000"/>
          <w:sz w:val="21"/>
          <w:szCs w:val="28"/>
        </w:rPr>
        <w:t xml:space="preserve"> 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被检查单位（签字或盖章）：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  <w:u w:val="single"/>
        </w:rPr>
        <w:t xml:space="preserve">                       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 xml:space="preserve">  </w:t>
      </w:r>
    </w:p>
    <w:sectPr w:rsidR="00F66CA8">
      <w:footerReference w:type="even" r:id="rId8"/>
      <w:pgSz w:w="11905" w:h="16837"/>
      <w:pgMar w:top="851" w:right="720" w:bottom="851" w:left="720" w:header="11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910" w:rsidRDefault="006C6910">
      <w:r>
        <w:separator/>
      </w:r>
    </w:p>
  </w:endnote>
  <w:endnote w:type="continuationSeparator" w:id="0">
    <w:p w:rsidR="006C6910" w:rsidRDefault="006C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CA8" w:rsidRDefault="003A2C8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6835" cy="175260"/>
              <wp:effectExtent l="0" t="0" r="0" b="190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66CA8" w:rsidRDefault="003A2C82">
                          <w:pPr>
                            <w:snapToGrid w:val="0"/>
                            <w:rPr>
                              <w:rFonts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6.05pt;height:13.8pt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" filled="f" stroked="f">
              <v:textbox style="mso-fit-shape-to-text:t" inset="0,0,0,0">
                <w:txbxContent>
                  <w:p w:rsidR="00F66CA8" w:rsidRDefault="003A2C82">
                    <w:pPr>
                      <w:snapToGrid w:val="0"/>
                      <w:rPr>
                        <w:rFonts w:cs="宋体"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910" w:rsidRDefault="006C6910">
      <w:r>
        <w:separator/>
      </w:r>
    </w:p>
  </w:footnote>
  <w:footnote w:type="continuationSeparator" w:id="0">
    <w:p w:rsidR="006C6910" w:rsidRDefault="006C691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汤柏劲">
    <w15:presenceInfo w15:providerId="None" w15:userId="汤柏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F3"/>
    <w:rsid w:val="000E54CF"/>
    <w:rsid w:val="00192C31"/>
    <w:rsid w:val="00275CF3"/>
    <w:rsid w:val="003A2C82"/>
    <w:rsid w:val="00481F73"/>
    <w:rsid w:val="00605603"/>
    <w:rsid w:val="006C6910"/>
    <w:rsid w:val="008B5CEE"/>
    <w:rsid w:val="008F3386"/>
    <w:rsid w:val="00AC739D"/>
    <w:rsid w:val="00D47EE0"/>
    <w:rsid w:val="00D91A70"/>
    <w:rsid w:val="00EC23B2"/>
    <w:rsid w:val="00F66CA8"/>
    <w:rsid w:val="04CF4D78"/>
    <w:rsid w:val="0DD47DE7"/>
    <w:rsid w:val="1DCE6522"/>
    <w:rsid w:val="227D3E67"/>
    <w:rsid w:val="38EA330A"/>
    <w:rsid w:val="5EC96CD2"/>
    <w:rsid w:val="6A7955FE"/>
    <w:rsid w:val="750D6E16"/>
    <w:rsid w:val="763D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ind w:firstLineChars="200" w:firstLine="387"/>
    </w:pPr>
  </w:style>
  <w:style w:type="paragraph" w:styleId="a4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70">
    <w:name w:val="Font Style70"/>
    <w:qFormat/>
    <w:rPr>
      <w:rFonts w:ascii="宋体" w:hAnsi="宋体" w:cs="宋体"/>
      <w:b/>
      <w:bCs/>
      <w:w w:val="150"/>
      <w:sz w:val="14"/>
      <w:szCs w:val="14"/>
    </w:rPr>
  </w:style>
  <w:style w:type="character" w:customStyle="1" w:styleId="FontStyle79">
    <w:name w:val="Font Style79"/>
    <w:qFormat/>
    <w:rPr>
      <w:rFonts w:ascii="宋体" w:hAnsi="宋体" w:cs="宋体"/>
      <w:b/>
      <w:bCs/>
      <w:spacing w:val="10"/>
      <w:sz w:val="26"/>
      <w:szCs w:val="26"/>
    </w:rPr>
  </w:style>
  <w:style w:type="character" w:customStyle="1" w:styleId="FontStyle77">
    <w:name w:val="Font Style77"/>
    <w:qFormat/>
    <w:rPr>
      <w:rFonts w:ascii="宋体" w:hAnsi="宋体" w:cs="宋体"/>
      <w:b/>
      <w:bCs/>
    </w:rPr>
  </w:style>
  <w:style w:type="character" w:customStyle="1" w:styleId="FontStyle60">
    <w:name w:val="Font Style60"/>
    <w:qFormat/>
    <w:rPr>
      <w:rFonts w:ascii="宋体" w:hAnsi="宋体" w:cs="宋体"/>
      <w:b/>
      <w:bCs/>
      <w:sz w:val="26"/>
      <w:szCs w:val="26"/>
    </w:rPr>
  </w:style>
  <w:style w:type="character" w:customStyle="1" w:styleId="FontStyle66">
    <w:name w:val="Font Style66"/>
    <w:qFormat/>
    <w:rPr>
      <w:rFonts w:ascii="宋体" w:hAnsi="宋体" w:cs="宋体"/>
      <w:b/>
      <w:bCs/>
      <w:spacing w:val="10"/>
      <w:sz w:val="18"/>
      <w:szCs w:val="18"/>
    </w:rPr>
  </w:style>
  <w:style w:type="character" w:customStyle="1" w:styleId="FontStyle54">
    <w:name w:val="Font Style54"/>
    <w:qFormat/>
    <w:rPr>
      <w:rFonts w:ascii="宋体" w:hAnsi="宋体" w:cs="宋体"/>
      <w:b/>
      <w:bCs/>
      <w:sz w:val="30"/>
      <w:szCs w:val="30"/>
    </w:rPr>
  </w:style>
  <w:style w:type="paragraph" w:customStyle="1" w:styleId="Style13">
    <w:name w:val="Style13"/>
    <w:basedOn w:val="a"/>
    <w:qFormat/>
    <w:pPr>
      <w:spacing w:line="302" w:lineRule="exact"/>
      <w:jc w:val="center"/>
    </w:pPr>
  </w:style>
  <w:style w:type="paragraph" w:customStyle="1" w:styleId="Style36">
    <w:name w:val="Style36"/>
    <w:basedOn w:val="a"/>
    <w:qFormat/>
    <w:pPr>
      <w:spacing w:line="259" w:lineRule="exact"/>
      <w:jc w:val="both"/>
    </w:pPr>
  </w:style>
  <w:style w:type="paragraph" w:customStyle="1" w:styleId="Style33">
    <w:name w:val="Style33"/>
    <w:basedOn w:val="a"/>
    <w:qFormat/>
  </w:style>
  <w:style w:type="paragraph" w:customStyle="1" w:styleId="Style27">
    <w:name w:val="Style27"/>
    <w:basedOn w:val="a"/>
    <w:qFormat/>
    <w:pPr>
      <w:spacing w:line="274" w:lineRule="exact"/>
      <w:jc w:val="both"/>
    </w:pPr>
  </w:style>
  <w:style w:type="paragraph" w:customStyle="1" w:styleId="Style16">
    <w:name w:val="Style16"/>
    <w:basedOn w:val="a"/>
    <w:qFormat/>
    <w:pPr>
      <w:jc w:val="right"/>
    </w:pPr>
  </w:style>
  <w:style w:type="paragraph" w:customStyle="1" w:styleId="Style12">
    <w:name w:val="Style12"/>
    <w:basedOn w:val="a"/>
    <w:qFormat/>
  </w:style>
  <w:style w:type="paragraph" w:customStyle="1" w:styleId="Style24">
    <w:name w:val="Style24"/>
    <w:basedOn w:val="a"/>
    <w:qFormat/>
  </w:style>
  <w:style w:type="paragraph" w:styleId="a6">
    <w:name w:val="Balloon Text"/>
    <w:basedOn w:val="a"/>
    <w:link w:val="Char1"/>
    <w:uiPriority w:val="99"/>
    <w:semiHidden/>
    <w:unhideWhenUsed/>
    <w:rsid w:val="000E54C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54CF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ind w:firstLineChars="200" w:firstLine="387"/>
    </w:pPr>
  </w:style>
  <w:style w:type="paragraph" w:styleId="a4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70">
    <w:name w:val="Font Style70"/>
    <w:qFormat/>
    <w:rPr>
      <w:rFonts w:ascii="宋体" w:hAnsi="宋体" w:cs="宋体"/>
      <w:b/>
      <w:bCs/>
      <w:w w:val="150"/>
      <w:sz w:val="14"/>
      <w:szCs w:val="14"/>
    </w:rPr>
  </w:style>
  <w:style w:type="character" w:customStyle="1" w:styleId="FontStyle79">
    <w:name w:val="Font Style79"/>
    <w:qFormat/>
    <w:rPr>
      <w:rFonts w:ascii="宋体" w:hAnsi="宋体" w:cs="宋体"/>
      <w:b/>
      <w:bCs/>
      <w:spacing w:val="10"/>
      <w:sz w:val="26"/>
      <w:szCs w:val="26"/>
    </w:rPr>
  </w:style>
  <w:style w:type="character" w:customStyle="1" w:styleId="FontStyle77">
    <w:name w:val="Font Style77"/>
    <w:qFormat/>
    <w:rPr>
      <w:rFonts w:ascii="宋体" w:hAnsi="宋体" w:cs="宋体"/>
      <w:b/>
      <w:bCs/>
    </w:rPr>
  </w:style>
  <w:style w:type="character" w:customStyle="1" w:styleId="FontStyle60">
    <w:name w:val="Font Style60"/>
    <w:qFormat/>
    <w:rPr>
      <w:rFonts w:ascii="宋体" w:hAnsi="宋体" w:cs="宋体"/>
      <w:b/>
      <w:bCs/>
      <w:sz w:val="26"/>
      <w:szCs w:val="26"/>
    </w:rPr>
  </w:style>
  <w:style w:type="character" w:customStyle="1" w:styleId="FontStyle66">
    <w:name w:val="Font Style66"/>
    <w:qFormat/>
    <w:rPr>
      <w:rFonts w:ascii="宋体" w:hAnsi="宋体" w:cs="宋体"/>
      <w:b/>
      <w:bCs/>
      <w:spacing w:val="10"/>
      <w:sz w:val="18"/>
      <w:szCs w:val="18"/>
    </w:rPr>
  </w:style>
  <w:style w:type="character" w:customStyle="1" w:styleId="FontStyle54">
    <w:name w:val="Font Style54"/>
    <w:qFormat/>
    <w:rPr>
      <w:rFonts w:ascii="宋体" w:hAnsi="宋体" w:cs="宋体"/>
      <w:b/>
      <w:bCs/>
      <w:sz w:val="30"/>
      <w:szCs w:val="30"/>
    </w:rPr>
  </w:style>
  <w:style w:type="paragraph" w:customStyle="1" w:styleId="Style13">
    <w:name w:val="Style13"/>
    <w:basedOn w:val="a"/>
    <w:qFormat/>
    <w:pPr>
      <w:spacing w:line="302" w:lineRule="exact"/>
      <w:jc w:val="center"/>
    </w:pPr>
  </w:style>
  <w:style w:type="paragraph" w:customStyle="1" w:styleId="Style36">
    <w:name w:val="Style36"/>
    <w:basedOn w:val="a"/>
    <w:qFormat/>
    <w:pPr>
      <w:spacing w:line="259" w:lineRule="exact"/>
      <w:jc w:val="both"/>
    </w:pPr>
  </w:style>
  <w:style w:type="paragraph" w:customStyle="1" w:styleId="Style33">
    <w:name w:val="Style33"/>
    <w:basedOn w:val="a"/>
    <w:qFormat/>
  </w:style>
  <w:style w:type="paragraph" w:customStyle="1" w:styleId="Style27">
    <w:name w:val="Style27"/>
    <w:basedOn w:val="a"/>
    <w:qFormat/>
    <w:pPr>
      <w:spacing w:line="274" w:lineRule="exact"/>
      <w:jc w:val="both"/>
    </w:pPr>
  </w:style>
  <w:style w:type="paragraph" w:customStyle="1" w:styleId="Style16">
    <w:name w:val="Style16"/>
    <w:basedOn w:val="a"/>
    <w:qFormat/>
    <w:pPr>
      <w:jc w:val="right"/>
    </w:pPr>
  </w:style>
  <w:style w:type="paragraph" w:customStyle="1" w:styleId="Style12">
    <w:name w:val="Style12"/>
    <w:basedOn w:val="a"/>
    <w:qFormat/>
  </w:style>
  <w:style w:type="paragraph" w:customStyle="1" w:styleId="Style24">
    <w:name w:val="Style24"/>
    <w:basedOn w:val="a"/>
    <w:qFormat/>
  </w:style>
  <w:style w:type="paragraph" w:styleId="a6">
    <w:name w:val="Balloon Text"/>
    <w:basedOn w:val="a"/>
    <w:link w:val="Char1"/>
    <w:uiPriority w:val="99"/>
    <w:semiHidden/>
    <w:unhideWhenUsed/>
    <w:rsid w:val="000E54C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54CF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滕礼刚</dc:creator>
  <cp:lastModifiedBy>吴超</cp:lastModifiedBy>
  <cp:revision>5</cp:revision>
  <cp:lastPrinted>2019-03-29T06:33:00Z</cp:lastPrinted>
  <dcterms:created xsi:type="dcterms:W3CDTF">2019-03-29T07:23:00Z</dcterms:created>
  <dcterms:modified xsi:type="dcterms:W3CDTF">2019-04-22T08:45:00Z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